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754" w:right="0" w:hanging="0"/>
        <w:jc w:val="center"/>
        <w:rPr>
          <w:rFonts w:ascii="Arial" w:hAnsi="Arial" w:cs="Arial"/>
          <w:sz w:val="24"/>
          <w:szCs w:val="24"/>
        </w:rPr>
      </w:pPr>
      <w:r>
        <w:rPr>
          <w:rFonts w:cs="Arial" w:ascii="Arial" w:hAnsi="Arial"/>
          <w:sz w:val="24"/>
          <w:szCs w:val="24"/>
        </w:rPr>
        <w:t>FAC – SIMILE ATTESTAZIONE CAPACITA’ FINANZIARIA</w:t>
      </w:r>
    </w:p>
    <w:p>
      <w:pPr>
        <w:pStyle w:val="Heading1"/>
        <w:tabs>
          <w:tab w:val="clear" w:pos="706"/>
          <w:tab w:val="left" w:pos="7513" w:leader="none"/>
        </w:tabs>
        <w:bidi w:val="0"/>
        <w:spacing w:before="187" w:after="0"/>
        <w:ind w:left="0" w:right="1305" w:hanging="0"/>
        <w:jc w:val="center"/>
        <w:rPr>
          <w:b/>
          <w:b/>
          <w:sz w:val="18"/>
          <w:szCs w:val="18"/>
        </w:rPr>
      </w:pPr>
      <w:r>
        <w:rPr>
          <w:b/>
          <w:sz w:val="18"/>
          <w:szCs w:val="18"/>
        </w:rPr>
        <w:t>CARTA INTESTATA</w:t>
      </w:r>
    </w:p>
    <w:p>
      <w:pPr>
        <w:pStyle w:val="Normal"/>
        <w:bidi w:val="0"/>
        <w:spacing w:before="1" w:after="0"/>
        <w:ind w:left="0" w:right="17" w:hanging="0"/>
        <w:jc w:val="both"/>
        <w:rPr>
          <w:rFonts w:ascii="Arial" w:hAnsi="Arial" w:cs="Arial"/>
          <w:sz w:val="18"/>
          <w:szCs w:val="18"/>
        </w:rPr>
      </w:pPr>
      <w:r>
        <w:rPr>
          <w:rFonts w:cs="Arial" w:ascii="Arial" w:hAnsi="Arial"/>
          <w:sz w:val="18"/>
          <w:szCs w:val="18"/>
        </w:rPr>
      </w:r>
    </w:p>
    <w:p>
      <w:pPr>
        <w:pStyle w:val="Normal"/>
        <w:bidi w:val="0"/>
        <w:spacing w:before="1" w:after="0"/>
        <w:ind w:left="0" w:right="17" w:hanging="0"/>
        <w:jc w:val="both"/>
        <w:rPr>
          <w:rFonts w:ascii="Arial" w:hAnsi="Arial" w:cs="Arial"/>
          <w:sz w:val="18"/>
          <w:szCs w:val="18"/>
        </w:rPr>
      </w:pPr>
      <w:r>
        <w:rPr>
          <w:rFonts w:cs="Arial" w:ascii="Arial" w:hAnsi="Arial"/>
          <w:sz w:val="18"/>
          <w:szCs w:val="18"/>
        </w:rPr>
        <w:t>(dell'azienda o di istituto di credito ovvero di società finanziaria con capitale sociale non inferiore a € 2.582.284,50)</w:t>
      </w:r>
    </w:p>
    <w:p>
      <w:pPr>
        <w:pStyle w:val="Normal"/>
        <w:bidi w:val="0"/>
        <w:spacing w:lineRule="exact" w:line="552"/>
        <w:ind w:left="0" w:right="0" w:hanging="0"/>
        <w:jc w:val="center"/>
        <w:rPr>
          <w:b/>
          <w:b/>
          <w:sz w:val="20"/>
          <w:szCs w:val="20"/>
        </w:rPr>
      </w:pPr>
      <w:r>
        <w:rPr>
          <w:b/>
          <w:sz w:val="20"/>
          <w:szCs w:val="20"/>
        </w:rPr>
        <w:t xml:space="preserve">       </w:t>
      </w:r>
      <w:r>
        <w:rPr>
          <w:b/>
          <w:sz w:val="20"/>
          <w:szCs w:val="20"/>
        </w:rPr>
        <w:t>ATTESTAZIONE</w:t>
      </w:r>
    </w:p>
    <w:p>
      <w:pPr>
        <w:pStyle w:val="Normal"/>
        <w:bidi w:val="0"/>
        <w:ind w:left="317" w:right="335" w:firstLine="3"/>
        <w:jc w:val="left"/>
        <w:rPr>
          <w:b/>
          <w:b/>
          <w:sz w:val="20"/>
          <w:szCs w:val="20"/>
        </w:rPr>
      </w:pPr>
      <w:r>
        <w:rPr>
          <w:b/>
          <w:sz w:val="20"/>
          <w:szCs w:val="20"/>
        </w:rPr>
        <w:t>Ai sensi dell’art. 6 del Regolamento Metropolitano per l’autorizzazione e la vigilanza delle scuole nautiche</w:t>
      </w:r>
    </w:p>
    <w:p>
      <w:pPr>
        <w:pStyle w:val="Corpodeltesto"/>
        <w:bidi w:val="0"/>
        <w:jc w:val="left"/>
        <w:rPr>
          <w:i w:val="false"/>
          <w:i w:val="false"/>
          <w:sz w:val="20"/>
          <w:szCs w:val="20"/>
        </w:rPr>
      </w:pPr>
      <w:r>
        <w:rPr>
          <w:i w:val="false"/>
          <w:sz w:val="20"/>
          <w:szCs w:val="20"/>
        </w:rPr>
      </w:r>
    </w:p>
    <w:p>
      <w:pPr>
        <w:pStyle w:val="Heading1"/>
        <w:tabs>
          <w:tab w:val="clear" w:pos="706"/>
          <w:tab w:val="left" w:pos="9525" w:leader="none"/>
        </w:tabs>
        <w:bidi w:val="0"/>
        <w:spacing w:lineRule="auto" w:line="240" w:before="229" w:after="0"/>
        <w:ind w:left="0" w:right="0" w:hanging="0"/>
        <w:jc w:val="left"/>
        <w:rPr/>
      </w:pPr>
      <w:r>
        <w:rPr>
          <w:sz w:val="20"/>
          <w:szCs w:val="20"/>
        </w:rPr>
        <w:t>A richiesta dell'interessato, si attesta che questo istituto (o società) ha concesso al sig./ra (oppure)</w:t>
      </w:r>
      <w:r>
        <w:rPr>
          <w:spacing w:val="-2"/>
          <w:sz w:val="20"/>
          <w:szCs w:val="20"/>
        </w:rPr>
        <w:t xml:space="preserve"> </w:t>
      </w:r>
      <w:r>
        <w:rPr>
          <w:sz w:val="20"/>
          <w:szCs w:val="20"/>
        </w:rPr>
        <w:t>societ</w:t>
      </w:r>
      <w:r>
        <w:rPr>
          <w:sz w:val="20"/>
          <w:szCs w:val="20"/>
        </w:rPr>
        <w:t>à</w:t>
      </w:r>
      <w:r>
        <w:rPr>
          <w:sz w:val="20"/>
          <w:szCs w:val="20"/>
          <w:u w:val="single"/>
        </w:rPr>
        <w:tab/>
      </w:r>
      <w:r>
        <w:rPr>
          <w:w w:val="95"/>
          <w:sz w:val="20"/>
          <w:szCs w:val="20"/>
        </w:rPr>
        <w:t>C.F./P.IVA</w:t>
      </w:r>
      <w:r>
        <w:rPr>
          <w:w w:val="95"/>
          <w:sz w:val="20"/>
          <w:szCs w:val="20"/>
        </w:rPr>
        <w:softHyphen/>
        <w:t xml:space="preserve">______________________________, nella </w:t>
      </w:r>
      <w:r>
        <w:rPr>
          <w:rFonts w:cs="Arial"/>
          <w:sz w:val="20"/>
          <w:szCs w:val="20"/>
        </w:rPr>
        <w:t>forma</w:t>
      </w:r>
      <w:r>
        <w:rPr>
          <w:rFonts w:cs="Arial"/>
          <w:spacing w:val="-5"/>
          <w:sz w:val="20"/>
          <w:szCs w:val="20"/>
        </w:rPr>
        <w:t xml:space="preserve"> </w:t>
      </w:r>
      <w:r>
        <w:rPr>
          <w:rFonts w:cs="Arial"/>
          <w:sz w:val="20"/>
          <w:szCs w:val="20"/>
        </w:rPr>
        <w:t>tecnica di</w:t>
      </w:r>
      <w:r>
        <w:rPr>
          <w:rFonts w:cs="Arial"/>
          <w:sz w:val="20"/>
          <w:szCs w:val="20"/>
          <w:u w:val="single"/>
        </w:rPr>
        <w:t xml:space="preserve"> </w:t>
        <w:tab/>
      </w:r>
      <w:r>
        <w:rPr>
          <w:rFonts w:cs="Arial"/>
          <w:sz w:val="20"/>
          <w:szCs w:val="20"/>
        </w:rPr>
        <w:t>. un affidamento di</w:t>
      </w:r>
      <w:r>
        <w:rPr>
          <w:rFonts w:cs="Arial"/>
          <w:spacing w:val="-2"/>
          <w:sz w:val="20"/>
          <w:szCs w:val="20"/>
        </w:rPr>
        <w:t xml:space="preserve"> </w:t>
      </w:r>
      <w:r>
        <w:rPr>
          <w:rFonts w:cs="Arial"/>
          <w:sz w:val="20"/>
          <w:szCs w:val="20"/>
        </w:rPr>
        <w:t>€</w:t>
      </w:r>
      <w:r>
        <w:rPr>
          <w:rFonts w:cs="Arial"/>
          <w:spacing w:val="-2"/>
          <w:sz w:val="20"/>
          <w:szCs w:val="20"/>
        </w:rPr>
        <w:t xml:space="preserve"> </w:t>
      </w:r>
      <w:r>
        <w:rPr>
          <w:sz w:val="20"/>
          <w:szCs w:val="20"/>
        </w:rPr>
        <w:t>¹</w:t>
      </w:r>
      <w:r>
        <w:rPr>
          <w:sz w:val="20"/>
          <w:szCs w:val="20"/>
          <w:u w:val="single"/>
        </w:rPr>
        <w:tab/>
        <w:tab/>
        <w:tab/>
      </w:r>
      <w:r>
        <w:rPr>
          <w:rFonts w:cs="Arial"/>
          <w:sz w:val="20"/>
          <w:szCs w:val="20"/>
        </w:rPr>
        <w:t>(</w:t>
      </w:r>
      <w:r>
        <w:rPr>
          <w:rFonts w:cs="Arial"/>
          <w:sz w:val="20"/>
          <w:szCs w:val="20"/>
          <w:u w:val="single"/>
        </w:rPr>
        <w:t xml:space="preserve"> </w:t>
      </w:r>
      <w:r>
        <w:rPr>
          <w:rFonts w:cs="Arial"/>
          <w:sz w:val="20"/>
          <w:szCs w:val="20"/>
        </w:rPr>
        <w:t>Luogo e</w:t>
      </w:r>
      <w:r>
        <w:rPr>
          <w:rFonts w:cs="Arial"/>
          <w:spacing w:val="-2"/>
          <w:sz w:val="20"/>
          <w:szCs w:val="20"/>
        </w:rPr>
        <w:t xml:space="preserve"> </w:t>
      </w:r>
      <w:r>
        <w:rPr>
          <w:rFonts w:cs="Arial"/>
          <w:sz w:val="20"/>
          <w:szCs w:val="20"/>
        </w:rPr>
        <w:t>data</w:t>
      </w:r>
    </w:p>
    <w:p>
      <w:pPr>
        <w:pStyle w:val="Heading1"/>
        <w:tabs>
          <w:tab w:val="clear" w:pos="706"/>
          <w:tab w:val="left" w:pos="9525" w:leader="none"/>
        </w:tabs>
        <w:bidi w:val="0"/>
        <w:spacing w:lineRule="auto" w:line="240" w:before="229" w:after="0"/>
        <w:ind w:left="0" w:right="0" w:hanging="0"/>
        <w:jc w:val="left"/>
        <w:rPr>
          <w:rFonts w:ascii="Arial" w:hAnsi="Arial" w:cs="Arial"/>
          <w:sz w:val="20"/>
          <w:szCs w:val="20"/>
        </w:rPr>
      </w:pPr>
      <w:r>
        <w:rPr>
          <w:rFonts w:cs="Arial"/>
          <w:sz w:val="20"/>
          <w:szCs w:val="20"/>
        </w:rPr>
        <w:t>Denominazione dell’Azienda/Istituto di Credito/Società</w:t>
      </w:r>
    </w:p>
    <w:p>
      <w:pPr>
        <w:pStyle w:val="Corpodeltesto"/>
        <w:bidi w:val="0"/>
        <w:spacing w:before="9" w:after="0"/>
        <w:jc w:val="left"/>
        <w:rPr>
          <w:rFonts w:ascii="Arial" w:hAnsi="Arial"/>
          <w:b w:val="false"/>
          <w:b w:val="false"/>
          <w:i w:val="false"/>
          <w:i w:val="false"/>
          <w:sz w:val="20"/>
          <w:szCs w:val="20"/>
        </w:rPr>
      </w:pPr>
      <w:r>
        <w:rPr>
          <w:rFonts w:ascii="Arial" w:hAnsi="Arial"/>
          <w:b w:val="false"/>
          <w:i w:val="false"/>
          <w:sz w:val="20"/>
          <w:szCs w:val="20"/>
        </w:rPr>
      </w:r>
    </w:p>
    <w:p>
      <w:pPr>
        <w:pStyle w:val="Corpodeltesto"/>
        <w:bidi w:val="0"/>
        <w:spacing w:before="9" w:after="0"/>
        <w:jc w:val="left"/>
        <w:rPr>
          <w:rFonts w:ascii="Arial" w:hAnsi="Arial"/>
          <w:b w:val="false"/>
          <w:b w:val="false"/>
          <w:i w:val="false"/>
          <w:i w:val="false"/>
          <w:sz w:val="20"/>
          <w:szCs w:val="20"/>
        </w:rPr>
      </w:pPr>
      <w:r>
        <w:rPr>
          <w:rFonts w:ascii="Arial" w:hAnsi="Arial"/>
          <w:b w:val="false"/>
          <w:i w:val="false"/>
          <w:sz w:val="20"/>
          <w:szCs w:val="20"/>
        </w:rPr>
        <w:t>--------------------------------------------------------------------------</w:t>
      </w:r>
    </w:p>
    <w:p>
      <w:pPr>
        <w:pStyle w:val="Corpodeltesto"/>
        <w:bidi w:val="0"/>
        <w:spacing w:before="11" w:after="0"/>
        <w:jc w:val="left"/>
        <w:rPr>
          <w:rFonts w:ascii="Arial" w:hAnsi="Arial"/>
          <w:b w:val="false"/>
          <w:b w:val="false"/>
          <w:i w:val="false"/>
          <w:i w:val="false"/>
          <w:sz w:val="20"/>
          <w:szCs w:val="20"/>
        </w:rPr>
      </w:pPr>
      <w:r>
        <w:rPr>
          <w:rFonts w:ascii="Arial" w:hAnsi="Arial"/>
          <w:b w:val="false"/>
          <w:i w:val="false"/>
          <w:sz w:val="20"/>
          <w:szCs w:val="20"/>
        </w:rPr>
      </w:r>
    </w:p>
    <w:p>
      <w:pPr>
        <w:pStyle w:val="Normal"/>
        <w:tabs>
          <w:tab w:val="clear" w:pos="706"/>
          <w:tab w:val="left" w:pos="8588" w:leader="none"/>
        </w:tabs>
        <w:bidi w:val="0"/>
        <w:spacing w:before="60" w:after="0"/>
        <w:ind w:left="-57" w:right="0" w:hanging="0"/>
        <w:jc w:val="left"/>
        <w:rPr/>
      </w:pPr>
      <w:r>
        <w:rPr>
          <w:rFonts w:ascii="Arial" w:hAnsi="Arial"/>
          <w:sz w:val="20"/>
          <w:szCs w:val="20"/>
        </w:rPr>
        <w:t>Filiale</w:t>
      </w:r>
      <w:r>
        <w:rPr>
          <w:rFonts w:ascii="Arial" w:hAnsi="Arial"/>
          <w:spacing w:val="-3"/>
          <w:sz w:val="20"/>
          <w:szCs w:val="20"/>
        </w:rPr>
        <w:t xml:space="preserve"> </w:t>
      </w:r>
      <w:r>
        <w:rPr>
          <w:rFonts w:ascii="Arial" w:hAnsi="Arial"/>
          <w:sz w:val="20"/>
          <w:szCs w:val="20"/>
        </w:rPr>
        <w:t>di</w:t>
      </w:r>
    </w:p>
    <w:p>
      <w:pPr>
        <w:pStyle w:val="Normal"/>
        <w:bidi w:val="0"/>
        <w:spacing w:before="60" w:after="0"/>
        <w:ind w:left="0" w:right="0" w:hanging="0"/>
        <w:jc w:val="left"/>
        <w:rPr>
          <w:rFonts w:ascii="Arial" w:hAnsi="Arial" w:cs="Arial"/>
          <w:sz w:val="20"/>
          <w:szCs w:val="20"/>
        </w:rPr>
      </w:pPr>
      <w:r>
        <w:rPr>
          <w:rFonts w:cs="Arial" w:ascii="Arial" w:hAnsi="Arial"/>
          <w:sz w:val="20"/>
          <w:szCs w:val="20"/>
        </w:rPr>
        <w:t>Generalità e Firma per esteso e leggibile del Responsabile</w:t>
      </w:r>
    </w:p>
    <w:p>
      <w:pPr>
        <w:pStyle w:val="Corpodeltesto"/>
        <w:bidi w:val="0"/>
        <w:spacing w:before="10" w:after="0"/>
        <w:jc w:val="left"/>
        <w:rPr>
          <w:rFonts w:ascii="Arial" w:hAnsi="Arial"/>
          <w:b w:val="false"/>
          <w:b w:val="false"/>
          <w:i w:val="false"/>
          <w:i w:val="false"/>
          <w:sz w:val="20"/>
          <w:szCs w:val="20"/>
        </w:rPr>
      </w:pPr>
      <w:r>
        <w:rPr>
          <w:rFonts w:ascii="Arial" w:hAnsi="Arial"/>
          <w:b w:val="false"/>
          <w:i w:val="false"/>
          <w:sz w:val="20"/>
          <w:szCs w:val="20"/>
        </w:rPr>
        <w:t>______________________________________________</w:t>
      </w:r>
    </w:p>
    <w:p>
      <w:pPr>
        <w:pStyle w:val="Corpodeltesto"/>
        <w:bidi w:val="0"/>
        <w:jc w:val="left"/>
        <w:rPr>
          <w:rFonts w:ascii="Arial" w:hAnsi="Arial"/>
          <w:b w:val="false"/>
          <w:b w:val="false"/>
          <w:i w:val="false"/>
          <w:i w:val="false"/>
          <w:sz w:val="20"/>
          <w:szCs w:val="20"/>
        </w:rPr>
      </w:pPr>
      <w:r>
        <w:rPr>
          <w:rFonts w:ascii="Arial" w:hAnsi="Arial"/>
          <w:b w:val="false"/>
          <w:i w:val="false"/>
          <w:sz w:val="20"/>
          <w:szCs w:val="20"/>
        </w:rPr>
      </w:r>
    </w:p>
    <w:p>
      <w:pPr>
        <w:pStyle w:val="Normal"/>
        <w:bidi w:val="0"/>
        <w:spacing w:before="59" w:after="0"/>
        <w:ind w:left="132" w:right="0" w:hanging="0"/>
        <w:jc w:val="left"/>
        <w:rPr/>
      </w:pPr>
      <w:r>
        <w:rPr>
          <w:color w:val="C1C1C1"/>
          <w:sz w:val="20"/>
          <w:szCs w:val="20"/>
        </w:rPr>
        <w:t xml:space="preserve">¹ </w:t>
      </w:r>
      <w:r>
        <w:rPr>
          <w:sz w:val="20"/>
          <w:szCs w:val="20"/>
        </w:rPr>
        <w:t>Affidamento minimo € 25.822,84</w:t>
      </w:r>
    </w:p>
    <w:p>
      <w:pPr>
        <w:pStyle w:val="Corpodeltesto"/>
        <w:bidi w:val="0"/>
        <w:jc w:val="left"/>
        <w:rPr>
          <w:b w:val="false"/>
          <w:b w:val="false"/>
          <w:i w:val="false"/>
          <w:i w:val="false"/>
          <w:sz w:val="20"/>
          <w:szCs w:val="20"/>
        </w:rPr>
      </w:pPr>
      <w:r>
        <w:rPr>
          <w:b w:val="false"/>
          <w:i w:val="false"/>
          <w:sz w:val="20"/>
          <w:szCs w:val="20"/>
        </w:rPr>
      </w:r>
    </w:p>
    <w:p>
      <w:pPr>
        <w:pStyle w:val="Heading1"/>
        <w:bidi w:val="0"/>
        <w:ind w:left="0" w:right="0" w:hanging="0"/>
        <w:jc w:val="both"/>
        <w:rPr>
          <w:rFonts w:ascii="Times New Roman" w:hAnsi="Times New Roman" w:cs="Times New Roman"/>
          <w:sz w:val="18"/>
          <w:szCs w:val="18"/>
        </w:rPr>
      </w:pPr>
      <w:r>
        <w:rPr>
          <w:rFonts w:cs="Times New Roman" w:ascii="Times New Roman" w:hAnsi="Times New Roman"/>
          <w:sz w:val="18"/>
          <w:szCs w:val="18"/>
        </w:rPr>
        <w:t>N.B.: si invita a voler verificare il rispetto delle previsioni contenute nell’avviso all’utenza del 6.12.2012, allegato alla presente.tto: dimostrazione del requisito della capacità finanziaria in materia di Autoscuole, Studi di Consulenza Automobilistica e Officine di Revisione</w:t>
      </w:r>
    </w:p>
    <w:p>
      <w:pPr>
        <w:pStyle w:val="Heading1"/>
        <w:bidi w:val="0"/>
        <w:ind w:left="0" w:right="0" w:hanging="0"/>
        <w:jc w:val="center"/>
        <w:rPr>
          <w:rFonts w:ascii="Arial" w:hAnsi="Arial" w:cs="Arial"/>
          <w:b/>
          <w:b/>
          <w:color w:val="221F1F"/>
          <w:sz w:val="20"/>
          <w:szCs w:val="20"/>
        </w:rPr>
      </w:pPr>
      <w:r>
        <w:rPr>
          <w:rFonts w:cs="Arial"/>
          <w:b/>
          <w:color w:val="221F1F"/>
          <w:sz w:val="20"/>
          <w:szCs w:val="20"/>
        </w:rPr>
      </w:r>
    </w:p>
    <w:p>
      <w:pPr>
        <w:pStyle w:val="Heading1"/>
        <w:bidi w:val="0"/>
        <w:ind w:left="0" w:right="0" w:hanging="0"/>
        <w:jc w:val="center"/>
        <w:rPr>
          <w:rFonts w:ascii="Arial" w:hAnsi="Arial" w:cs="Arial"/>
          <w:b/>
          <w:b/>
          <w:color w:val="221F1F"/>
          <w:sz w:val="20"/>
          <w:szCs w:val="20"/>
        </w:rPr>
      </w:pPr>
      <w:r>
        <w:rPr>
          <w:rFonts w:cs="Arial"/>
          <w:b/>
          <w:color w:val="221F1F"/>
          <w:sz w:val="20"/>
          <w:szCs w:val="20"/>
        </w:rPr>
        <w:t>AVVISO ALL’UTENZA</w:t>
      </w:r>
    </w:p>
    <w:p>
      <w:pPr>
        <w:pStyle w:val="Normal"/>
        <w:bidi w:val="0"/>
        <w:spacing w:lineRule="auto" w:line="240"/>
        <w:ind w:left="0" w:right="117" w:hanging="0"/>
        <w:jc w:val="both"/>
        <w:rPr>
          <w:color w:val="221F1F"/>
          <w:sz w:val="20"/>
          <w:szCs w:val="20"/>
        </w:rPr>
      </w:pPr>
      <w:r>
        <w:rPr>
          <w:color w:val="221F1F"/>
          <w:sz w:val="20"/>
          <w:szCs w:val="20"/>
        </w:rPr>
      </w:r>
    </w:p>
    <w:p>
      <w:pPr>
        <w:pStyle w:val="Normal"/>
        <w:bidi w:val="0"/>
        <w:spacing w:lineRule="auto" w:line="240"/>
        <w:ind w:left="0" w:right="117" w:hanging="0"/>
        <w:jc w:val="both"/>
        <w:rPr/>
      </w:pPr>
      <w:r>
        <w:rPr>
          <w:color w:val="221F1F"/>
          <w:sz w:val="20"/>
          <w:szCs w:val="20"/>
        </w:rPr>
        <w:t>Si riporta di seguito stralcio di quanto chiarito dalla Banca d’Italia al riguardo delle attestazioni in materia di dimostrazione del requisito della capacità finanziaria rilasciate da Società Finanziarie iscritte solo nell’elenco generale ex art. 106</w:t>
      </w:r>
      <w:r>
        <w:rPr>
          <w:color w:val="221F1F"/>
          <w:spacing w:val="11"/>
          <w:sz w:val="20"/>
          <w:szCs w:val="20"/>
        </w:rPr>
        <w:t xml:space="preserve"> </w:t>
      </w:r>
      <w:r>
        <w:rPr>
          <w:color w:val="221F1F"/>
          <w:sz w:val="20"/>
          <w:szCs w:val="20"/>
        </w:rPr>
        <w:t>TUB.</w:t>
      </w:r>
    </w:p>
    <w:p>
      <w:pPr>
        <w:pStyle w:val="Normal"/>
        <w:bidi w:val="0"/>
        <w:ind w:left="0" w:right="0" w:hanging="0"/>
        <w:jc w:val="left"/>
        <w:rPr/>
      </w:pPr>
      <w:r>
        <w:rPr>
          <w:i/>
          <w:color w:val="221F1F"/>
          <w:sz w:val="20"/>
          <w:szCs w:val="20"/>
        </w:rPr>
        <w:t>(...)</w:t>
      </w:r>
      <w:r>
        <w:rPr>
          <w:i/>
          <w:color w:val="221F1F"/>
          <w:sz w:val="20"/>
          <w:szCs w:val="20"/>
        </w:rPr>
        <w:t xml:space="preserve"> </w:t>
      </w:r>
      <w:r>
        <w:rPr>
          <w:color w:val="221F1F"/>
          <w:sz w:val="20"/>
          <w:szCs w:val="20"/>
        </w:rPr>
        <w:t>Con riferimento a quanto rappresentato, si ha presente che l’attività di concessione del credito in qualunque forma è riservata, oltre che alle banche, agli intermediari finanziari iscritti nell’elenco generale di cui all’art. 106 del TUB. I medesimi intermediari finanziari, al ricorrere delle condizioni determinate in via generale con decreto del Ministro dell’Economia e delle Finanze, si iscrivono anche nell’elenco speciale di cui all’art. 107</w:t>
      </w:r>
      <w:r>
        <w:rPr>
          <w:color w:val="221F1F"/>
          <w:spacing w:val="7"/>
          <w:sz w:val="20"/>
          <w:szCs w:val="20"/>
        </w:rPr>
        <w:t xml:space="preserve"> </w:t>
      </w:r>
      <w:r>
        <w:rPr>
          <w:color w:val="221F1F"/>
          <w:sz w:val="20"/>
          <w:szCs w:val="20"/>
        </w:rPr>
        <w:t>TUB.</w:t>
      </w:r>
    </w:p>
    <w:p>
      <w:pPr>
        <w:pStyle w:val="Corpodeltesto"/>
        <w:bidi w:val="0"/>
        <w:spacing w:before="10" w:after="0"/>
        <w:jc w:val="left"/>
        <w:rPr>
          <w:sz w:val="20"/>
          <w:szCs w:val="20"/>
        </w:rPr>
      </w:pPr>
      <w:r>
        <w:rPr>
          <w:sz w:val="20"/>
          <w:szCs w:val="20"/>
        </w:rPr>
      </w:r>
    </w:p>
    <w:p>
      <w:pPr>
        <w:pStyle w:val="Corpodeltesto"/>
        <w:bidi w:val="0"/>
        <w:ind w:left="0" w:right="0" w:hanging="0"/>
        <w:jc w:val="left"/>
        <w:rPr>
          <w:color w:val="221F1F"/>
          <w:sz w:val="20"/>
          <w:szCs w:val="20"/>
        </w:rPr>
      </w:pPr>
      <w:r>
        <w:rPr>
          <w:color w:val="221F1F"/>
          <w:sz w:val="20"/>
          <w:szCs w:val="20"/>
        </w:rPr>
        <w:t xml:space="preserve">Con </w:t>
      </w:r>
      <w:r>
        <w:rPr>
          <w:color w:val="221F1F"/>
          <w:sz w:val="20"/>
          <w:szCs w:val="20"/>
        </w:rPr>
        <w:t>D</w:t>
      </w:r>
      <w:r>
        <w:rPr>
          <w:color w:val="221F1F"/>
          <w:sz w:val="20"/>
          <w:szCs w:val="20"/>
        </w:rPr>
        <w:t>ecreto 17 febbraio 2009, n. 29 il MEF ha:</w:t>
      </w:r>
    </w:p>
    <w:p>
      <w:pPr>
        <w:pStyle w:val="Paragrafoelenco"/>
        <w:numPr>
          <w:ilvl w:val="0"/>
          <w:numId w:val="2"/>
        </w:numPr>
        <w:tabs>
          <w:tab w:val="clear" w:pos="706"/>
          <w:tab w:val="left" w:pos="1231" w:leader="none"/>
        </w:tabs>
        <w:bidi w:val="0"/>
        <w:spacing w:lineRule="auto" w:line="240" w:before="4" w:after="0"/>
        <w:jc w:val="both"/>
        <w:rPr>
          <w:b/>
          <w:b/>
          <w:i/>
          <w:i/>
          <w:color w:val="221F1F"/>
          <w:sz w:val="20"/>
          <w:szCs w:val="20"/>
        </w:rPr>
      </w:pPr>
      <w:r>
        <w:rPr>
          <w:b/>
          <w:i/>
          <w:color w:val="221F1F"/>
          <w:sz w:val="20"/>
          <w:szCs w:val="20"/>
        </w:rPr>
        <w:t>confermato che il rilascio di garanzie nei confronti del pubblico rientra tra le forme di concessione del credito riservate agli intermediari finanziari (cfr. art. 3, comma 1, lett. f del citato D.M.);</w:t>
      </w:r>
    </w:p>
    <w:p>
      <w:pPr>
        <w:pStyle w:val="Paragrafoelenco"/>
        <w:numPr>
          <w:ilvl w:val="0"/>
          <w:numId w:val="2"/>
        </w:numPr>
        <w:tabs>
          <w:tab w:val="clear" w:pos="706"/>
          <w:tab w:val="left" w:pos="1163" w:leader="none"/>
        </w:tabs>
        <w:bidi w:val="0"/>
        <w:spacing w:lineRule="auto" w:line="240" w:before="3" w:after="0"/>
        <w:jc w:val="both"/>
        <w:rPr/>
      </w:pPr>
      <w:r>
        <w:rPr>
          <w:b/>
          <w:i/>
          <w:color w:val="221F1F"/>
          <w:sz w:val="20"/>
          <w:szCs w:val="20"/>
        </w:rPr>
        <w:t>introdotto, ai sensi dell’art. 106, comma 4, lett. b) del TUB, specifici requisiti per gli intermediari finanziari che esercitano l’attività di rilascio di garanzie (cfr. art. 11 del</w:t>
      </w:r>
      <w:r>
        <w:rPr>
          <w:b/>
          <w:i/>
          <w:color w:val="221F1F"/>
          <w:spacing w:val="29"/>
          <w:sz w:val="20"/>
          <w:szCs w:val="20"/>
        </w:rPr>
        <w:t xml:space="preserve"> </w:t>
      </w:r>
      <w:r>
        <w:rPr>
          <w:b/>
          <w:i/>
          <w:color w:val="221F1F"/>
          <w:sz w:val="20"/>
          <w:szCs w:val="20"/>
        </w:rPr>
        <w:t>D.M.);</w:t>
      </w:r>
    </w:p>
    <w:p>
      <w:pPr>
        <w:pStyle w:val="Paragrafoelenco"/>
        <w:numPr>
          <w:ilvl w:val="0"/>
          <w:numId w:val="2"/>
        </w:numPr>
        <w:tabs>
          <w:tab w:val="clear" w:pos="706"/>
          <w:tab w:val="left" w:pos="1215" w:leader="none"/>
        </w:tabs>
        <w:bidi w:val="0"/>
        <w:spacing w:lineRule="auto" w:line="240" w:before="3" w:after="0"/>
        <w:jc w:val="both"/>
        <w:rPr>
          <w:b/>
          <w:b/>
          <w:i/>
          <w:i/>
          <w:color w:val="221F1F"/>
          <w:sz w:val="20"/>
          <w:szCs w:val="20"/>
        </w:rPr>
      </w:pPr>
      <w:r>
        <w:rPr>
          <w:b/>
          <w:i/>
          <w:color w:val="221F1F"/>
          <w:sz w:val="20"/>
          <w:szCs w:val="20"/>
        </w:rPr>
        <w:t>subordinato l’esercizio nei confronti del pubblico dell’attività di rilascio di garanzie in via esclusiva, prevalente o comunque rilevante all’iscrizione dell’intermediario finanziario nell’elenco speciale di cui all’art. 107 TUB ed al rispetto di ulteriori requisiti (cfr. art. 16 del D.M.).</w:t>
      </w:r>
    </w:p>
    <w:p>
      <w:pPr>
        <w:pStyle w:val="Paragrafoelenco"/>
        <w:numPr>
          <w:ilvl w:val="0"/>
          <w:numId w:val="0"/>
        </w:numPr>
        <w:tabs>
          <w:tab w:val="clear" w:pos="706"/>
          <w:tab w:val="left" w:pos="1215" w:leader="none"/>
        </w:tabs>
        <w:bidi w:val="0"/>
        <w:spacing w:lineRule="auto" w:line="240" w:before="3" w:after="0"/>
        <w:ind w:left="651" w:right="0" w:hanging="0"/>
        <w:jc w:val="both"/>
        <w:rPr>
          <w:b/>
          <w:b/>
          <w:i/>
          <w:i/>
          <w:sz w:val="20"/>
          <w:szCs w:val="20"/>
        </w:rPr>
      </w:pPr>
      <w:r>
        <w:rPr>
          <w:b/>
          <w:i/>
          <w:sz w:val="20"/>
          <w:szCs w:val="20"/>
        </w:rPr>
      </w:r>
    </w:p>
    <w:p>
      <w:pPr>
        <w:pStyle w:val="Corpodeltesto"/>
        <w:bidi w:val="0"/>
        <w:spacing w:lineRule="auto" w:line="240" w:before="1" w:after="0"/>
        <w:ind w:left="0" w:right="118" w:hanging="0"/>
        <w:jc w:val="both"/>
        <w:rPr/>
      </w:pPr>
      <w:r>
        <w:rPr>
          <w:color w:val="221F1F"/>
          <w:sz w:val="20"/>
          <w:szCs w:val="20"/>
        </w:rPr>
        <w:t>Ciò premesso, si conferma che al momento nessuna società finanziaria iscritta nel solo elenco generale ex art. 106 TUB rispetta le condizioni previste dall’art. 11 del D.M. 29/2009 per l’esercizio nei confronti del pubblico dell’attività di rilascio di</w:t>
      </w:r>
      <w:r>
        <w:rPr>
          <w:color w:val="221F1F"/>
          <w:spacing w:val="11"/>
          <w:sz w:val="20"/>
          <w:szCs w:val="20"/>
        </w:rPr>
        <w:t xml:space="preserve"> </w:t>
      </w:r>
      <w:r>
        <w:rPr>
          <w:color w:val="221F1F"/>
          <w:sz w:val="20"/>
          <w:szCs w:val="20"/>
        </w:rPr>
        <w:t>garanzie.</w:t>
      </w:r>
    </w:p>
    <w:p>
      <w:pPr>
        <w:pStyle w:val="Corpodeltesto"/>
        <w:bidi w:val="0"/>
        <w:spacing w:before="7" w:after="0"/>
        <w:jc w:val="left"/>
        <w:rPr>
          <w:sz w:val="20"/>
          <w:szCs w:val="20"/>
        </w:rPr>
      </w:pPr>
      <w:r>
        <w:rPr>
          <w:sz w:val="20"/>
          <w:szCs w:val="20"/>
        </w:rPr>
      </w:r>
    </w:p>
    <w:p>
      <w:pPr>
        <w:pStyle w:val="Corpodeltesto"/>
        <w:bidi w:val="0"/>
        <w:spacing w:lineRule="auto" w:line="240" w:before="0" w:after="120"/>
        <w:ind w:left="0" w:right="113" w:hanging="0"/>
        <w:jc w:val="both"/>
        <w:rPr>
          <w:color w:val="221F1F"/>
          <w:sz w:val="20"/>
          <w:szCs w:val="20"/>
        </w:rPr>
      </w:pPr>
      <w:r>
        <w:rPr>
          <w:color w:val="221F1F"/>
          <w:sz w:val="20"/>
          <w:szCs w:val="20"/>
        </w:rPr>
        <w:t>Per quanto attiene poi al quesito formulato da codesta Amministrazione, si ha presente che le attestazioni di capacità finanziaria di cui all’art. 239 del DPR 16.12.1992 n. 495 sono rilasciate compilando un modulo – accluso alla citata nota di codesta Città Metropolitana – in base al quale la società finanziaria dichiara di aver concesso all’impresa interessata affidamenti “sotto le varie forme tecniche”.</w:t>
      </w:r>
    </w:p>
    <w:sectPr>
      <w:type w:val="nextPage"/>
      <w:pgSz w:w="11906" w:h="16838"/>
      <w:pgMar w:left="1134" w:right="1134" w:gutter="0" w:header="0" w:top="720" w:footer="0" w:bottom="132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651" w:hanging="203"/>
      </w:pPr>
      <w:rPr>
        <w:rFonts w:ascii="Times New Roman" w:hAnsi="Times New Roman" w:cs="Times New Roman" w:hint="default"/>
        <w:sz w:val="23"/>
        <w:i/>
        <w:b/>
        <w:szCs w:val="23"/>
        <w:bCs/>
        <w:w w:val="101"/>
        <w:color w:val="221F1F"/>
        <w:lang w:val="it-IT" w:bidi="it-I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WW8Num1z0">
    <w:name w:val="WW8Num1z0"/>
    <w:qFormat/>
    <w:rPr>
      <w:rFonts w:ascii="Times New Roman" w:hAnsi="Times New Roman" w:eastAsia="Times New Roman" w:cs="Times New Roman"/>
      <w:b/>
      <w:bCs/>
      <w:i/>
      <w:color w:val="221F1F"/>
      <w:w w:val="101"/>
      <w:sz w:val="23"/>
      <w:szCs w:val="23"/>
      <w:lang w:val="it-IT" w:bidi="it-IT"/>
    </w:rPr>
  </w:style>
  <w:style w:type="character" w:styleId="WW8Num1z1">
    <w:name w:val="WW8Num1z1"/>
    <w:qFormat/>
    <w:rPr>
      <w:lang w:val="it-IT" w:bidi="it-I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Heading1">
    <w:name w:val="Heading 1"/>
    <w:basedOn w:val="Normal"/>
    <w:qFormat/>
    <w:pPr>
      <w:ind w:left="2964" w:right="0" w:hanging="0"/>
    </w:pPr>
    <w:rPr>
      <w:rFonts w:ascii="Arial" w:hAnsi="Arial" w:eastAsia="Arial" w:cs="Arial"/>
      <w:sz w:val="24"/>
      <w:szCs w:val="24"/>
    </w:rPr>
  </w:style>
  <w:style w:type="paragraph" w:styleId="Paragrafoelenco">
    <w:name w:val="Paragrafo elenco"/>
    <w:basedOn w:val="Normal"/>
    <w:qFormat/>
    <w:pPr>
      <w:spacing w:before="3" w:after="0"/>
      <w:ind w:left="651" w:right="120" w:hanging="275"/>
      <w:jc w:val="both"/>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LibreOffice/7.2.0.4$Windows_X86_64 LibreOffice_project/9a9c6381e3f7a62afc1329bd359cc48accb6435b</Application>
  <AppVersion>15.0000</AppVersion>
  <Pages>1</Pages>
  <Words>447</Words>
  <Characters>2785</Characters>
  <CharactersWithSpaces>3219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dcterms:modified xsi:type="dcterms:W3CDTF">2021-11-16T14:21:01Z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